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59a9f2 [1940]" focus="100%" type="gradient"/>
    </v:background>
  </w:background>
  <w:body>
    <w:p w:rsidR="00D45FB3" w:rsidRDefault="009A2ABA" w:rsidP="00D45FB3">
      <w:pPr>
        <w:pStyle w:val="1"/>
        <w:ind w:left="0" w:right="-1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6188710" cy="7518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нистерство логотип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ABA" w:rsidRDefault="009A2ABA" w:rsidP="00D45FB3">
      <w:pPr>
        <w:pStyle w:val="1"/>
        <w:ind w:left="0" w:right="-1"/>
        <w:jc w:val="center"/>
        <w:rPr>
          <w:b/>
          <w:lang w:val="ru-RU"/>
        </w:rPr>
      </w:pPr>
    </w:p>
    <w:p w:rsidR="009A2ABA" w:rsidRPr="00120CDF" w:rsidRDefault="009A2ABA" w:rsidP="00D45FB3">
      <w:pPr>
        <w:pStyle w:val="1"/>
        <w:ind w:left="0" w:right="-1"/>
        <w:jc w:val="center"/>
        <w:rPr>
          <w:b/>
          <w:color w:val="0F6FC6" w:themeColor="accent1"/>
          <w:lang w:val="ru-RU"/>
        </w:rPr>
      </w:pPr>
      <w:r w:rsidRPr="00120CDF">
        <w:rPr>
          <w:b/>
          <w:color w:val="0F6FC6" w:themeColor="accent1"/>
          <w:lang w:val="ru-RU"/>
        </w:rPr>
        <w:t>ОГКУ ЦЗН Иркутского района информирует</w:t>
      </w:r>
    </w:p>
    <w:p w:rsidR="00D45FB3" w:rsidRPr="00120CDF" w:rsidRDefault="00D45FB3" w:rsidP="00D45FB3">
      <w:pPr>
        <w:pStyle w:val="1"/>
        <w:ind w:left="0" w:right="-1"/>
        <w:jc w:val="center"/>
        <w:rPr>
          <w:rFonts w:cs="Calibri"/>
          <w:color w:val="0F6FC6" w:themeColor="accent1"/>
          <w:sz w:val="20"/>
          <w:szCs w:val="20"/>
          <w:lang w:val="ru-RU"/>
        </w:rPr>
      </w:pPr>
    </w:p>
    <w:p w:rsidR="00D45FB3" w:rsidRPr="00120CDF" w:rsidRDefault="00D45FB3" w:rsidP="00D45FB3">
      <w:pPr>
        <w:spacing w:before="5"/>
        <w:rPr>
          <w:rFonts w:ascii="Calibri" w:eastAsia="Calibri" w:hAnsi="Calibri" w:cs="Calibri"/>
          <w:color w:val="0F6FC6" w:themeColor="accent1"/>
          <w:sz w:val="18"/>
          <w:szCs w:val="18"/>
          <w:lang w:val="ru-RU"/>
        </w:rPr>
      </w:pPr>
    </w:p>
    <w:p w:rsidR="00120CDF" w:rsidRPr="00741833" w:rsidRDefault="00120CDF" w:rsidP="00120CDF">
      <w:pPr>
        <w:jc w:val="center"/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</w:pPr>
      <w:r w:rsidRPr="00120CDF">
        <w:rPr>
          <w:rFonts w:ascii="Times New Roman" w:eastAsia="Times New Roman" w:hAnsi="Times New Roman" w:cs="Times New Roman"/>
          <w:b/>
          <w:bCs/>
          <w:color w:val="0F6FC6" w:themeColor="accent1"/>
          <w:sz w:val="44"/>
          <w:szCs w:val="44"/>
          <w:lang w:eastAsia="ru-RU"/>
        </w:rPr>
        <w:t>        </w:t>
      </w:r>
      <w:r w:rsidRPr="00120CDF">
        <w:rPr>
          <w:rFonts w:ascii="Times New Roman" w:eastAsia="Times New Roman" w:hAnsi="Times New Roman" w:cs="Times New Roman"/>
          <w:b/>
          <w:bCs/>
          <w:color w:val="0F6FC6" w:themeColor="accent1"/>
          <w:sz w:val="44"/>
          <w:szCs w:val="44"/>
          <w:lang w:val="ru-RU" w:eastAsia="ru-RU"/>
        </w:rPr>
        <w:t xml:space="preserve"> Как </w:t>
      </w:r>
      <w:proofErr w:type="gramStart"/>
      <w:r w:rsidRPr="00120CDF">
        <w:rPr>
          <w:rFonts w:ascii="Times New Roman" w:eastAsia="Times New Roman" w:hAnsi="Times New Roman" w:cs="Times New Roman"/>
          <w:b/>
          <w:bCs/>
          <w:color w:val="0F6FC6" w:themeColor="accent1"/>
          <w:sz w:val="44"/>
          <w:szCs w:val="44"/>
          <w:lang w:val="ru-RU" w:eastAsia="ru-RU"/>
        </w:rPr>
        <w:t>начисляется пособие по безработице</w:t>
      </w:r>
      <w:r w:rsidRPr="00120CDF">
        <w:rPr>
          <w:rFonts w:ascii="Times New Roman" w:eastAsia="Times New Roman" w:hAnsi="Times New Roman" w:cs="Times New Roman"/>
          <w:color w:val="0F6FC6" w:themeColor="accent1"/>
          <w:sz w:val="44"/>
          <w:szCs w:val="44"/>
          <w:shd w:val="clear" w:color="auto" w:fill="FFFFFF"/>
          <w:lang w:val="ru-RU" w:eastAsia="ru-RU"/>
        </w:rPr>
        <w:br/>
      </w:r>
      <w:r w:rsidRPr="00120CDF">
        <w:rPr>
          <w:rFonts w:ascii="Times New Roman" w:eastAsia="Times New Roman" w:hAnsi="Times New Roman" w:cs="Times New Roman"/>
          <w:color w:val="333333"/>
          <w:sz w:val="44"/>
          <w:szCs w:val="44"/>
          <w:shd w:val="clear" w:color="auto" w:fill="FFFFFF"/>
          <w:lang w:val="ru-RU" w:eastAsia="ru-RU"/>
        </w:rPr>
        <w:br/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>Размер пособия зависит</w:t>
      </w:r>
      <w:proofErr w:type="gramEnd"/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 xml:space="preserve"> от зарплаты и ограничивается </w:t>
      </w:r>
      <w:r w:rsidRPr="00741833">
        <w:rPr>
          <w:rFonts w:ascii="Times New Roman" w:eastAsia="Times New Roman" w:hAnsi="Times New Roman" w:cs="Times New Roman"/>
          <w:b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>максимальным размером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 xml:space="preserve">, в случае если заявитель состоял последние 12 месяцев в трудовых отношениях </w:t>
      </w:r>
      <w:r w:rsidRPr="00741833">
        <w:rPr>
          <w:rFonts w:ascii="Times New Roman" w:eastAsia="Times New Roman" w:hAnsi="Times New Roman" w:cs="Times New Roman"/>
          <w:b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>не менее 26 недель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>.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br/>
      </w:r>
      <w:r w:rsidRPr="00741833">
        <w:rPr>
          <w:rFonts w:ascii="Times New Roman" w:eastAsia="Times New Roman" w:hAnsi="Times New Roman" w:cs="Times New Roman"/>
          <w:b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>Минимальный размер пособия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 xml:space="preserve"> начисляется, если заявитель: </w:t>
      </w:r>
    </w:p>
    <w:p w:rsidR="00120CDF" w:rsidRPr="00741833" w:rsidRDefault="00120CDF" w:rsidP="00120CDF">
      <w:pPr>
        <w:jc w:val="center"/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</w:pP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>- состоял за предшествующий увольнению год в трудовых отношениях менее 26 недель;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br/>
        <w:t>- впервые ищет работу (ранее не работал);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br/>
        <w:t>- прекратил индивидуальную предпринимательскую деятельность.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br/>
      </w:r>
    </w:p>
    <w:p w:rsidR="00D45FB3" w:rsidRPr="00120CDF" w:rsidRDefault="00120CDF" w:rsidP="00120CDF">
      <w:pPr>
        <w:spacing w:before="19"/>
        <w:ind w:right="54"/>
        <w:jc w:val="center"/>
        <w:rPr>
          <w:sz w:val="44"/>
          <w:szCs w:val="44"/>
          <w:lang w:val="ru-RU"/>
        </w:rPr>
      </w:pP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>Период начисления пособия – 6 месяцев.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br/>
        <w:t>Период начисления минимального пособия – 3 месяца.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br/>
        <w:t xml:space="preserve">Для граждан </w:t>
      </w:r>
      <w:proofErr w:type="spellStart"/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>предпенсионного</w:t>
      </w:r>
      <w:proofErr w:type="spellEnd"/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t xml:space="preserve"> возраста – 12 месяцев;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highlight w:val="lightGray"/>
          <w:shd w:val="clear" w:color="auto" w:fill="FFFFFF"/>
          <w:lang w:val="ru-RU" w:eastAsia="ru-RU"/>
        </w:rPr>
        <w:br/>
        <w:t>Также на время принятия мер, связанных с противодействием пандемии, Правительством могут приниматься временные решения по установлению размеров пособий отдельным категориям граждан.</w:t>
      </w:r>
      <w:r w:rsidRPr="00741833">
        <w:rPr>
          <w:rFonts w:ascii="Times New Roman" w:eastAsia="Times New Roman" w:hAnsi="Times New Roman" w:cs="Times New Roman"/>
          <w:color w:val="0F6FC6" w:themeColor="accent1"/>
          <w:sz w:val="44"/>
          <w:szCs w:val="44"/>
          <w:shd w:val="clear" w:color="auto" w:fill="FFFFFF"/>
          <w:lang w:val="ru-RU" w:eastAsia="ru-RU"/>
        </w:rPr>
        <w:br/>
      </w:r>
    </w:p>
    <w:sectPr w:rsidR="00D45FB3" w:rsidRPr="00120CDF" w:rsidSect="009A2ABA">
      <w:pgSz w:w="11906" w:h="16838"/>
      <w:pgMar w:top="709" w:right="849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D0E"/>
    <w:multiLevelType w:val="hybridMultilevel"/>
    <w:tmpl w:val="1BD4D466"/>
    <w:lvl w:ilvl="0" w:tplc="CD6680EC">
      <w:start w:val="1"/>
      <w:numFmt w:val="decimal"/>
      <w:lvlText w:val="%1."/>
      <w:lvlJc w:val="left"/>
      <w:pPr>
        <w:ind w:left="500" w:hanging="384"/>
      </w:pPr>
      <w:rPr>
        <w:rFonts w:ascii="Calibri" w:eastAsia="Calibri" w:hAnsi="Calibri" w:hint="default"/>
        <w:color w:val="FFFFFF"/>
        <w:spacing w:val="-1"/>
        <w:w w:val="100"/>
        <w:sz w:val="28"/>
        <w:szCs w:val="28"/>
      </w:rPr>
    </w:lvl>
    <w:lvl w:ilvl="1" w:tplc="75DAB948">
      <w:start w:val="1"/>
      <w:numFmt w:val="bullet"/>
      <w:lvlText w:val="•"/>
      <w:lvlJc w:val="left"/>
      <w:pPr>
        <w:ind w:left="1595" w:hanging="384"/>
      </w:pPr>
      <w:rPr>
        <w:rFonts w:hint="default"/>
      </w:rPr>
    </w:lvl>
    <w:lvl w:ilvl="2" w:tplc="7DAA3F62">
      <w:start w:val="1"/>
      <w:numFmt w:val="bullet"/>
      <w:lvlText w:val="•"/>
      <w:lvlJc w:val="left"/>
      <w:pPr>
        <w:ind w:left="2691" w:hanging="384"/>
      </w:pPr>
      <w:rPr>
        <w:rFonts w:hint="default"/>
      </w:rPr>
    </w:lvl>
    <w:lvl w:ilvl="3" w:tplc="F678EBC6">
      <w:start w:val="1"/>
      <w:numFmt w:val="bullet"/>
      <w:lvlText w:val="•"/>
      <w:lvlJc w:val="left"/>
      <w:pPr>
        <w:ind w:left="3787" w:hanging="384"/>
      </w:pPr>
      <w:rPr>
        <w:rFonts w:hint="default"/>
      </w:rPr>
    </w:lvl>
    <w:lvl w:ilvl="4" w:tplc="CA08271A">
      <w:start w:val="1"/>
      <w:numFmt w:val="bullet"/>
      <w:lvlText w:val="•"/>
      <w:lvlJc w:val="left"/>
      <w:pPr>
        <w:ind w:left="4883" w:hanging="384"/>
      </w:pPr>
      <w:rPr>
        <w:rFonts w:hint="default"/>
      </w:rPr>
    </w:lvl>
    <w:lvl w:ilvl="5" w:tplc="58C6FA40">
      <w:start w:val="1"/>
      <w:numFmt w:val="bullet"/>
      <w:lvlText w:val="•"/>
      <w:lvlJc w:val="left"/>
      <w:pPr>
        <w:ind w:left="5979" w:hanging="384"/>
      </w:pPr>
      <w:rPr>
        <w:rFonts w:hint="default"/>
      </w:rPr>
    </w:lvl>
    <w:lvl w:ilvl="6" w:tplc="ED48A790">
      <w:start w:val="1"/>
      <w:numFmt w:val="bullet"/>
      <w:lvlText w:val="•"/>
      <w:lvlJc w:val="left"/>
      <w:pPr>
        <w:ind w:left="7075" w:hanging="384"/>
      </w:pPr>
      <w:rPr>
        <w:rFonts w:hint="default"/>
      </w:rPr>
    </w:lvl>
    <w:lvl w:ilvl="7" w:tplc="D41237C0">
      <w:start w:val="1"/>
      <w:numFmt w:val="bullet"/>
      <w:lvlText w:val="•"/>
      <w:lvlJc w:val="left"/>
      <w:pPr>
        <w:ind w:left="8171" w:hanging="384"/>
      </w:pPr>
      <w:rPr>
        <w:rFonts w:hint="default"/>
      </w:rPr>
    </w:lvl>
    <w:lvl w:ilvl="8" w:tplc="3176C156">
      <w:start w:val="1"/>
      <w:numFmt w:val="bullet"/>
      <w:lvlText w:val="•"/>
      <w:lvlJc w:val="left"/>
      <w:pPr>
        <w:ind w:left="9267" w:hanging="3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D45FB3"/>
    <w:rsid w:val="00120CDF"/>
    <w:rsid w:val="001A09BB"/>
    <w:rsid w:val="002219A6"/>
    <w:rsid w:val="0022308A"/>
    <w:rsid w:val="00741833"/>
    <w:rsid w:val="009A2ABA"/>
    <w:rsid w:val="00A72A9C"/>
    <w:rsid w:val="00D4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FB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45FB3"/>
    <w:pPr>
      <w:spacing w:before="19"/>
      <w:ind w:left="680"/>
      <w:outlineLvl w:val="0"/>
    </w:pPr>
    <w:rPr>
      <w:rFonts w:ascii="Calibri" w:eastAsia="Calibri" w:hAnsi="Calibri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5FB3"/>
    <w:rPr>
      <w:rFonts w:ascii="Calibri" w:eastAsia="Calibri" w:hAnsi="Calibri"/>
      <w:sz w:val="40"/>
      <w:szCs w:val="40"/>
      <w:lang w:val="en-US"/>
    </w:rPr>
  </w:style>
  <w:style w:type="paragraph" w:styleId="a3">
    <w:name w:val="Body Text"/>
    <w:basedOn w:val="a"/>
    <w:link w:val="a4"/>
    <w:uiPriority w:val="1"/>
    <w:qFormat/>
    <w:rsid w:val="00D45FB3"/>
    <w:pPr>
      <w:ind w:left="500"/>
    </w:pPr>
    <w:rPr>
      <w:rFonts w:ascii="Calibri" w:eastAsia="Calibri" w:hAnsi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45FB3"/>
    <w:rPr>
      <w:rFonts w:ascii="Calibri" w:eastAsia="Calibri" w:hAnsi="Calibri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D45FB3"/>
  </w:style>
  <w:style w:type="table" w:styleId="a6">
    <w:name w:val="Table Grid"/>
    <w:basedOn w:val="a1"/>
    <w:uiPriority w:val="39"/>
    <w:rsid w:val="00D4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0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C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92E3-5E4B-472F-A2D5-076B84E0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2020-04-14T10:07:00Z</cp:lastPrinted>
  <dcterms:created xsi:type="dcterms:W3CDTF">2020-04-14T10:14:00Z</dcterms:created>
  <dcterms:modified xsi:type="dcterms:W3CDTF">2020-04-14T10:41:00Z</dcterms:modified>
</cp:coreProperties>
</file>