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Взаимодействие с заявителями при государственной регистрации в электронном виде.</w:t>
      </w:r>
    </w:p>
    <w:p w14:paraId="02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>С 01 октября 2018 регистрирующий орган и заявители перешли на электронное взаимодействие при государственной регистрации юридических лиц и индивидуальных предпринимателей.</w:t>
      </w:r>
    </w:p>
    <w:p w14:paraId="03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По состоянию на 01.04.2020 в Иркутской области более 65% заявителей представляют документы для государственной регистрации в электронном виде.</w:t>
      </w:r>
    </w:p>
    <w:p w14:paraId="0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 за последние 12 месяцев в Единый регистрационный центр Иркутской области в электронном виде направлены документы белее чем 40 тысячами заявителей.</w:t>
      </w:r>
    </w:p>
    <w:p w14:paraId="05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Иркутская область входит в первую десятку субъектов Российской Федерации по объему документов, направляемых для регистрации в электронной форме.</w:t>
      </w:r>
    </w:p>
    <w:p w14:paraId="0600000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Документы, являющиеся результатом оказания государственной услуги,  будут направляться регистрирующим органом по включенному в государственный реестр адресу электронной почты ЮЛ или ИП, а также по адресу электронной почты, указанному заявителем при представлении документов в регистрирующий орган. При этом, регистрирующий орган по запросу заявителя может выдать составленные на бумажном носителе документы, подтверждающие содержание электронных документов, связанных с государственной регистрацией. Аналогичный порядок предусмотрен  и в случае представления в регистрирующий орган документов через МФЦ или по просьбе заявителя нотариусом. </w:t>
      </w:r>
    </w:p>
    <w:p w14:paraId="0700000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Государственная пошлина за совершение юридически значимых действий в случаях направления в регистрирующий орган документов, необходимых для совершения таких юридически значимых действий, в форме электронных документов в порядке, установленном законодательством Российской Федерации о государственной регистрации юридических лиц и индивидуальных предпринимателей</w:t>
      </w:r>
      <w:r>
        <w:rPr>
          <w:rFonts w:ascii="Times New Roman" w:hAnsi="Times New Roman"/>
          <w:b w:val="1"/>
          <w:sz w:val="28"/>
        </w:rPr>
        <w:t xml:space="preserve">, </w:t>
      </w:r>
      <w:r>
        <w:rPr>
          <w:rFonts w:ascii="Times New Roman" w:hAnsi="Times New Roman"/>
          <w:sz w:val="28"/>
        </w:rPr>
        <w:t>не уплачивается.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Норма применяется также и в случае, если документы направлены в регистрирующий орган нотариусом или через МФЦ. </w:t>
      </w:r>
    </w:p>
    <w:p w14:paraId="08000000">
      <w:pPr>
        <w:widowControl w:val="0"/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</w:p>
    <w:p w14:paraId="09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Отмена печати для хозяйственных обществ.</w:t>
      </w:r>
    </w:p>
    <w:p w14:paraId="0A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Обязательность печати для хозяйственных обществ – обществ с ограниченной ответственностью и акционерных обществ - отменена Федеральным законом от 6 апреля 2015 года № 82-ФЗ «О внесении изменений в отдельные законодательные акты Российской Федерации в части отмены обязательности печати хозяйственных обществ», который вступил в силу 7 апреля 2015 года.</w:t>
      </w:r>
    </w:p>
    <w:p w14:paraId="0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этой связи, с 7 апреля 2015 года изготовление и использование обществами с ограниченной ответственностью и акционерными обществами печатей не требуется.</w:t>
      </w:r>
      <w:r>
        <w:rPr>
          <w:rFonts w:ascii="Times New Roman" w:hAnsi="Times New Roman"/>
          <w:sz w:val="28"/>
        </w:rPr>
        <w:t xml:space="preserve"> </w:t>
      </w:r>
    </w:p>
    <w:p w14:paraId="0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>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 Сведения о наличии печати должны содержаться в уставе общества.</w:t>
      </w:r>
    </w:p>
    <w:p w14:paraId="0D000000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0E000000">
      <w:pPr>
        <w:spacing w:after="0" w:line="240" w:lineRule="auto"/>
        <w:ind w:firstLine="709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Срок ликвидации составляет один год.</w:t>
      </w:r>
    </w:p>
    <w:p w14:paraId="0F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пунктами 1, 2, 5 статьи 57 Федерального закона от 08.02.1998 N 14-ФЗ "Об обществах с ограниченной ответственностью" (далее - Закон N 14-ФЗ) общество может быть ликвидировано добровольно в порядке, установленном Гражданским кодексом Российской Федерации, с учетом требований настоящего Федерального закона и устава общества. Общество может быть ликвидировано также по решению суда по основаниям, предусмотренным Гражданским кодексом Российской Федерации. Общее собрание участников добровольно ликвидируемого общества принимает решение о ликвидации общества и назначении ликвидационной комиссии. Порядок ликвидации общества определяется Гражданским кодексом Российской Федерации и другими федеральными законами.</w:t>
      </w:r>
    </w:p>
    <w:p w14:paraId="10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силу пункта 6 статьи 57 Закона N 14-ФЗ срок ликвидации общества, установленный его участниками или органом, принявшим решение о ликвидации общества, не может превышать один год, а в случае, если ликвидация общества не может быть завершена в указанный срок, этот срок может быть продлен в судебном порядке, но не более чем на шесть месяцев.</w:t>
      </w:r>
    </w:p>
    <w:p w14:paraId="11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истечению указанных сроков процедура ликвидации прекращается, о чем в ЕГРЮЛ регистрирующим органом будет вносится соответствующая запись.</w:t>
      </w:r>
    </w:p>
    <w:p w14:paraId="12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Повторное принятие решения о добровольной ликвидации общества возможно не ранее чем по истечении шести месяцев с момента истечения срока ликвидации общества. </w:t>
      </w:r>
    </w:p>
    <w:p w14:paraId="130000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14:paraId="14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Порядок обжалования решений об отказе в государственной регистрации.</w:t>
      </w:r>
    </w:p>
    <w:p w14:paraId="1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6"/>
        </w:rPr>
      </w:pPr>
    </w:p>
    <w:p w14:paraId="16000000">
      <w:pPr>
        <w:tabs>
          <w:tab w:leader="none" w:pos="952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Согласно статье 25.1 Федерального закона № 129-ФЗ з</w:t>
      </w:r>
      <w:r>
        <w:rPr>
          <w:rFonts w:ascii="Times New Roman" w:hAnsi="Times New Roman"/>
          <w:sz w:val="28"/>
        </w:rPr>
        <w:t>аинтересованное лицо имеет право обжаловать решение регистрирующего органа о государственной регистрации или об отказе в государственной регистрации, если, по мнению этого лица, такое решение нарушает его права.</w:t>
      </w:r>
    </w:p>
    <w:p w14:paraId="17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территориального регистрирующего органа о государственной регистрации может быть обжаловано в вышестоящий регистрирующий орган, а также в федеральный орган исполнительной власти, уполномоченный в соответствии со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"consultantplus://offline/ref=9891C6174D0810D01190F177D20AFA2E64CF9548F513939467FCD693470D0C583B409B931ERFr3I"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статьей 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№ 129-ФЗ, путем подачи жалобы в порядке, установленном указанным законом, и (или) обжаловано в судебном порядке.</w:t>
      </w:r>
    </w:p>
    <w:p w14:paraId="18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Жалоба может быть подана в вышестоящий регистрирующий орган или в федеральный орган исполнительной власти, в течение трех месяцев со дня, когда лицо узнало или должно было узнать о нарушении своих прав (статья 25.3 Федерального закона № 129-ФЗ).</w:t>
      </w:r>
    </w:p>
    <w:p w14:paraId="19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В случае, если </w:t>
      </w:r>
      <w:r>
        <w:rPr>
          <w:rFonts w:ascii="Times New Roman" w:hAnsi="Times New Roman"/>
          <w:sz w:val="28"/>
        </w:rPr>
        <w:t>жалоба подана после истечения срока подачи жалобы, и не содержит ходатайство о его восстановлении или в восстановлении пропущенного срока на подачу жалобы отказано, вышестоящий регистрирующий орган или федеральный орган исполнительной власти, оставляет жалобу без рассмотрения (статья 25.5 Федерального закона № 129-ФЗ).</w:t>
      </w:r>
    </w:p>
    <w:p w14:paraId="1A000000">
      <w:pPr>
        <w:widowControl w:val="0"/>
        <w:tabs>
          <w:tab w:leader="none" w:pos="915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1B000000">
      <w:pPr>
        <w:widowControl w:val="0"/>
        <w:tabs>
          <w:tab w:leader="none" w:pos="915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Удостове</w:t>
      </w:r>
      <w:r>
        <w:rPr>
          <w:rFonts w:ascii="Times New Roman" w:hAnsi="Times New Roman"/>
          <w:b w:val="1"/>
          <w:sz w:val="28"/>
        </w:rPr>
        <w:t xml:space="preserve">рение решения общего собрания общества с ограниченной ответственностью </w:t>
      </w:r>
    </w:p>
    <w:p w14:paraId="1C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Согласно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"consultantplus://offline/ref=97FB6F98FDF7949703D2672CE2BED252B2A857D77449F7390D28C1EAED07FBE5A17C8DC4868EE9C2FBE3B0A52A9E6311603ECF6F50BBGBC9F"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подпункту 3 пункта 3 статьи 67.1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ГК РФ принятие общим собранием участников общества с ограниченной ответственностью решения и состав участников общества, присутствовавших при его принятии, подтверждаются путем нотариального удостоверения, если иной способ (подписание протокола всеми участниками или частью участников; с использованием технических средств, позволяющих достоверно установить факт принятия решения; иным способом, не противоречащим закону) не предусмотрен уставом такого общества либо решением общего собрания участников общества, принятым участниками общества единогласно.</w:t>
      </w:r>
    </w:p>
    <w:p w14:paraId="1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Решение общего собрания участников общества с ограниченной ответственностью, в соответствии с которым в отношении решений общества будет применяться альтернативный способ подтверждения, требует нотариального удостоверения.</w:t>
      </w:r>
    </w:p>
    <w:p w14:paraId="1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Требование о нотариальном удостоверении, установленное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"consultantplus://offline/ref=86214E066125BEC137F6E0A1838A7DCA61AF8B350F2A26746F2BE75C975B41E7DBACCCB4268DFA988764DA311EBAAA91B009E3926FA9d1E2F"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подпунктом 3 пункта 3 статьи 67.1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ГК РФ, распространяется и на решение единственного участника.</w:t>
      </w:r>
    </w:p>
    <w:p w14:paraId="1F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000000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Повторное направление документов в регистрирующий орган </w:t>
      </w:r>
    </w:p>
    <w:p w14:paraId="2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У заявителя, который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"consultantplus://offline/ref=3A34FB7B393411A774D91BE85452F8AEC177039327BE44D4B72D171DE41DBB4FB1712E1FB6689ECA0EC1761AFCEA3F1B5B9389AB25HCH7F"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не представил необходимые документы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или оформил их неверно, что явилось основанием для отказа в государственной регистрации в соответствии с подпунктами «а» и (или) «ц» пункта 1 статьи 23 Федерального закона № 129-ФЗ,  на исправление есть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"consultantplus://offline/ref=3A34FB7B393411A774D91BE85452F8AEC177039327BE44D4B72D171DE41DBB4FB1712E1AB3699ECA0EC1761AFCEA3F1B5B9389AB25HCH7F"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три месяца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со дня отказа в регистрации.</w:t>
      </w:r>
    </w:p>
    <w:p w14:paraId="22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течение этого срока можно снова подать документы, но только один раз. При этом не нужно повторно платить госпошлину и представлять документы, которые после первого обращения остались у регистрирующего органа.</w:t>
      </w:r>
    </w:p>
    <w:p w14:paraId="23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400000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5000000">
      <w:pPr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Ответственность за регистрацию юридических лиц через подставных лиц</w:t>
      </w:r>
    </w:p>
    <w:p w14:paraId="26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 xml:space="preserve"> 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силу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"consultantplus://offline/ref=8AD26DDE32CB8658E05559F973E225B39C44DCF980E4ED021556BD7F9D8EFF212C319C255FC9C8628D3B0F2807CE6D44A31103C9E879C026F"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статьи 173.1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УК РФ образование (создание, реорганизация) юридического лица через подставных лиц, а также представление в орган, осуществляющий государственную регистрацию юридических лиц и индивидуальных предпринимателей, данных, повлекшее внесение в единый государственный реестр юридических лиц сведений о подставных лицах, наказываются штрафом в размере от ста тысяч до трехсот тысяч рублей или в размере заработной платы или иного дохода осужденного за период от семи месяцев до одного года, либо принудительными работами на срок до трех лет, либо лишением свободы на тот же срок.</w:t>
      </w:r>
    </w:p>
    <w:p w14:paraId="27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 подставными лицами понимаются лица, которые являются учредителями (участниками) юридического лица или органами управления юридического лица и путем введения в заблуждение либо без ведома которых были внесены данные о них в единый государственный реестр юридических лиц, а также лица, которые являются органами управления юридического лица, у которых отсутствует цель управления юридическим лицом.</w:t>
      </w:r>
    </w:p>
    <w:p w14:paraId="28000000">
      <w:pPr>
        <w:tabs>
          <w:tab w:leader="none" w:pos="930" w:val="left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2019 году налоговыми органами региона в правоохранительные органы направлено 305 сообщений о выявленных фактах, указывающих на признаки состава преступления по ст. 173.1, 173.2 УК РФ. Возбуждено 167 уголовных дел. 9 дел рассмотрено судом, осужденным вынесены наказания в виде штрафов до 100 000 рублей.</w:t>
      </w:r>
    </w:p>
    <w:p w14:paraId="29000000">
      <w:pPr>
        <w:tabs>
          <w:tab w:leader="none" w:pos="930" w:val="left"/>
        </w:tabs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14:paraId="2A000000">
      <w:pPr>
        <w:tabs>
          <w:tab w:leader="none" w:pos="930" w:val="left"/>
        </w:tabs>
        <w:spacing w:after="0" w:line="240" w:lineRule="auto"/>
        <w:ind w:firstLine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Исключение юридического лица из ЕГРЮЛ </w:t>
      </w:r>
    </w:p>
    <w:p w14:paraId="2B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Исключить из ЕГРЮЛ могут юрлицо:</w:t>
      </w:r>
    </w:p>
    <w:p w14:paraId="2C000000">
      <w:pPr>
        <w:spacing w:after="0" w:before="28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-если оно не представляет отчетность, предусмотренную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"consultantplus://offline/ref=22AF1A0FE3257FF8F4972FB727E4A894ABD4AFCA825A4F6FD6D4F32EDDFDCD8252407F957BE3CD79865CD469DD42D740D80A894F93d2O7G"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законодательством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РФ о налогах и сборах, и не осуществляло операций ни по одному банковскому счету в течение 12 месяцев;</w:t>
      </w:r>
    </w:p>
    <w:p w14:paraId="2D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отношении которого в ЕГРЮЛ уже более шести месяцев есть запись о недостоверности сведений об адресе места нахождения, участнике или руководителе юридического лица.</w:t>
      </w:r>
    </w:p>
    <w:p w14:paraId="2E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Само юрлицо, его кредиторы или иное лицо, чьи права и законные интересы затрагиваются исключением юрлица из реестра, могут направить в регистрирующий орган заявление с возражением о предстоящем исключении лица из ЕГРЮЛ. В таком случае решение об исключении юрлица из ЕГРЮЛ не принимается. </w:t>
      </w:r>
      <w:r>
        <w:rPr>
          <w:rFonts w:ascii="Times New Roman" w:hAnsi="Times New Roman"/>
          <w:b w:val="1"/>
          <w:sz w:val="28"/>
        </w:rPr>
        <w:t>Возражение нужно подать в течение трех месяцев</w:t>
      </w:r>
      <w:r>
        <w:rPr>
          <w:rFonts w:ascii="Times New Roman" w:hAnsi="Times New Roman"/>
          <w:sz w:val="28"/>
        </w:rPr>
        <w:t xml:space="preserve"> с момента опубликования в журнале "Вестник государственной регистрации".</w:t>
      </w:r>
    </w:p>
    <w:p w14:paraId="2F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Получить общедоступную информацию о принятом регистрирующим органом решении о предстоящем исключении фактически прекратившего деятельность юридического лица Вы также можете с использованием электронного сервиса «Риски бизнеса: проверь себя и контрагента», размещенного на сайте ФНС России www.nalog.ru в разделе «Электронные сервисы».</w:t>
      </w:r>
    </w:p>
    <w:p w14:paraId="30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последний календарный год из реестра юридических лиц по решению налоговых органов исключено около 5,5 тыс. юридических лиц.</w:t>
      </w:r>
    </w:p>
    <w:p w14:paraId="31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состоянию на 01.04.2020 налоговыми органы приняты решения о предстоящем исключении 1,1 тыс. организаций, из которых в 508 случаях решения приняты в связи с непредставлением документов налоговой отчетности и отсутствием операций по банковскому счету, в 608 случаях в связи с наличием в Едином государственном реестре юридически лиц записей о недостоверности сведении на протяжении более шести месяцев.</w:t>
      </w:r>
    </w:p>
    <w:p w14:paraId="32000000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14:paraId="33000000"/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after="200" w:line="276" w:lineRule="auto"/>
      <w:ind/>
    </w:pPr>
    <w:rPr>
      <w:sz w:val="22"/>
    </w:rPr>
  </w:style>
  <w:style w:default="1" w:styleId="Style_1_ch" w:type="character">
    <w:name w:val="Normal"/>
    <w:link w:val="Style_1"/>
    <w:rPr>
      <w:sz w:val="22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1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1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Subtitle"/>
    <w:next w:val="Style_1"/>
    <w:link w:val="Style_18_ch"/>
    <w:uiPriority w:val="11"/>
    <w:qFormat/>
    <w:rPr>
      <w:rFonts w:ascii="XO Thames" w:hAnsi="XO Thames"/>
      <w:i w:val="1"/>
      <w:color w:val="616161"/>
      <w:sz w:val="24"/>
    </w:rPr>
  </w:style>
  <w:style w:styleId="Style_18_ch" w:type="character">
    <w:name w:val="Subtitle"/>
    <w:link w:val="Style_18"/>
    <w:rPr>
      <w:rFonts w:ascii="XO Thames" w:hAnsi="XO Thames"/>
      <w:i w:val="1"/>
      <w:color w:val="616161"/>
      <w:sz w:val="24"/>
    </w:rPr>
  </w:style>
  <w:style w:styleId="Style_19" w:type="paragraph">
    <w:name w:val="toc 10"/>
    <w:next w:val="Style_1"/>
    <w:link w:val="Style_19_ch"/>
    <w:uiPriority w:val="39"/>
    <w:pPr>
      <w:ind w:firstLine="0" w:left="1800"/>
    </w:pPr>
  </w:style>
  <w:style w:styleId="Style_19_ch" w:type="character">
    <w:name w:val="toc 10"/>
    <w:link w:val="Style_19"/>
  </w:style>
  <w:style w:styleId="Style_20" w:type="paragraph">
    <w:name w:val="Title"/>
    <w:next w:val="Style_1"/>
    <w:link w:val="Style_20_ch"/>
    <w:uiPriority w:val="10"/>
    <w:qFormat/>
    <w:rPr>
      <w:rFonts w:ascii="XO Thames" w:hAnsi="XO Thames"/>
      <w:b w:val="1"/>
      <w:sz w:val="52"/>
    </w:rPr>
  </w:style>
  <w:style w:styleId="Style_20_ch" w:type="character">
    <w:name w:val="Title"/>
    <w:link w:val="Style_20"/>
    <w:rPr>
      <w:rFonts w:ascii="XO Thames" w:hAnsi="XO Thames"/>
      <w:b w:val="1"/>
      <w:sz w:val="52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1_ch" w:type="character">
    <w:name w:val="heading 4"/>
    <w:link w:val="Style_21"/>
    <w:rPr>
      <w:rFonts w:ascii="XO Thames" w:hAnsi="XO Thames"/>
      <w:b w:val="1"/>
      <w:color w:val="595959"/>
      <w:sz w:val="26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2_ch" w:type="character">
    <w:name w:val="heading 2"/>
    <w:link w:val="Style_22"/>
    <w:rPr>
      <w:rFonts w:ascii="XO Thames" w:hAnsi="XO Thames"/>
      <w:b w:val="1"/>
      <w:color w:val="00A0FF"/>
      <w:sz w:val="26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